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87" w:rsidRDefault="00656C8C" w:rsidP="003350EE">
      <w:pPr>
        <w:spacing w:before="0" w:beforeAutospacing="0" w:after="0" w:afterAutospacing="0"/>
      </w:pPr>
      <w:r>
        <w:rPr>
          <w:b/>
          <w:u w:val="single"/>
        </w:rPr>
        <w:t>Why this? Why now?</w:t>
      </w:r>
      <w:r w:rsidRPr="003350EE">
        <w:rPr>
          <w:b/>
        </w:rPr>
        <w:t xml:space="preserve">  </w:t>
      </w:r>
      <w:r w:rsidR="00D20E7D">
        <w:t>The</w:t>
      </w:r>
      <w:r w:rsidR="00AE6187">
        <w:t xml:space="preserve"> research</w:t>
      </w:r>
      <w:r w:rsidR="00D20E7D">
        <w:t xml:space="preserve"> based that</w:t>
      </w:r>
      <w:r w:rsidR="00AE6187">
        <w:t xml:space="preserve"> explains the interface between oral health and diabetes </w:t>
      </w:r>
      <w:r w:rsidR="00D20E7D">
        <w:t>has become very solid in recent years</w:t>
      </w:r>
      <w:r>
        <w:t xml:space="preserve">.  </w:t>
      </w:r>
      <w:r w:rsidR="00903BA4">
        <w:t>T</w:t>
      </w:r>
      <w:r>
        <w:t xml:space="preserve">he reciprocal relationship between diabetes and periodontal disease distinguishes it from other chronic diseases.  </w:t>
      </w:r>
      <w:r w:rsidR="009B37BD">
        <w:t xml:space="preserve"> </w:t>
      </w:r>
    </w:p>
    <w:p w:rsidR="0028336C" w:rsidRPr="00903BA4" w:rsidRDefault="00DF0244" w:rsidP="00EB5192">
      <w:pPr>
        <w:rPr>
          <w:rFonts w:cs="Arial"/>
        </w:rPr>
      </w:pPr>
      <w:r>
        <w:rPr>
          <w:b/>
          <w:u w:val="single"/>
        </w:rPr>
        <w:t>The evidence:</w:t>
      </w:r>
      <w:r>
        <w:t xml:space="preserve"> </w:t>
      </w:r>
      <w:r w:rsidR="00AE6187">
        <w:t xml:space="preserve"> </w:t>
      </w:r>
      <w:r w:rsidR="0049395A" w:rsidRPr="00AE6187">
        <w:rPr>
          <w:rFonts w:cs="Arial"/>
        </w:rPr>
        <w:t>Poor</w:t>
      </w:r>
      <w:r w:rsidR="0049395A">
        <w:rPr>
          <w:rFonts w:cs="Arial"/>
        </w:rPr>
        <w:t xml:space="preserve"> oral health in adults contributes to complications and severity of heart disease, diabetes and other chronic conditions.</w:t>
      </w:r>
      <w:r w:rsidR="0049395A">
        <w:rPr>
          <w:rStyle w:val="EndnoteReference"/>
          <w:rFonts w:cs="Arial"/>
        </w:rPr>
        <w:endnoteReference w:id="2"/>
      </w:r>
      <w:r w:rsidR="0049395A">
        <w:rPr>
          <w:rFonts w:cs="Arial"/>
        </w:rPr>
        <w:t xml:space="preserve">  “…One of the major complications of diabetes is periodontal disease</w:t>
      </w:r>
      <w:r w:rsidR="0049395A">
        <w:rPr>
          <w:rStyle w:val="EndnoteReference"/>
          <w:rFonts w:cs="Arial"/>
        </w:rPr>
        <w:endnoteReference w:id="3"/>
      </w:r>
      <w:r w:rsidR="0049395A">
        <w:rPr>
          <w:rFonts w:cs="Arial"/>
        </w:rPr>
        <w:t xml:space="preserve"> … Adults with diabetes have both a higher prevalence of periodontal disease and more severe forms of the disease</w:t>
      </w:r>
      <w:r w:rsidR="0049395A">
        <w:rPr>
          <w:rStyle w:val="EndnoteReference"/>
          <w:rFonts w:cs="Arial"/>
        </w:rPr>
        <w:endnoteReference w:id="4"/>
      </w:r>
      <w:r w:rsidR="0049395A">
        <w:rPr>
          <w:rFonts w:cs="Arial"/>
        </w:rPr>
        <w:t>…  In addition, periodontal disease has been associated with development of glucose intolerance and poor glycemic control among adults with diabetes.</w:t>
      </w:r>
      <w:r w:rsidR="0049395A">
        <w:rPr>
          <w:rStyle w:val="EndnoteReference"/>
          <w:rFonts w:cs="Arial"/>
        </w:rPr>
        <w:endnoteReference w:id="5"/>
      </w:r>
      <w:r w:rsidR="0049395A">
        <w:rPr>
          <w:rFonts w:cs="Arial"/>
        </w:rPr>
        <w:t>” Diabetes is a growing problem everywhere and is one of the four primary causes of death and disability among Maine residents.</w:t>
      </w:r>
      <w:r w:rsidR="0049395A">
        <w:rPr>
          <w:rStyle w:val="EndnoteReference"/>
          <w:rFonts w:cs="Arial"/>
        </w:rPr>
        <w:endnoteReference w:id="6"/>
      </w:r>
      <w:r w:rsidR="0049395A">
        <w:rPr>
          <w:rFonts w:cs="Arial"/>
        </w:rPr>
        <w:t xml:space="preserve">  Established </w:t>
      </w:r>
      <w:r w:rsidR="00B10D82">
        <w:rPr>
          <w:rFonts w:cs="Arial"/>
        </w:rPr>
        <w:t>d</w:t>
      </w:r>
      <w:r w:rsidR="0049395A">
        <w:rPr>
          <w:rFonts w:cs="Arial"/>
        </w:rPr>
        <w:t>iabetes education and self-management programs operating in Maine</w:t>
      </w:r>
      <w:r w:rsidR="00B10D82">
        <w:rPr>
          <w:rFonts w:cs="Arial"/>
        </w:rPr>
        <w:t xml:space="preserve"> utilize the ADA Standards, but</w:t>
      </w:r>
      <w:r w:rsidR="0049395A">
        <w:rPr>
          <w:rFonts w:cs="Arial"/>
        </w:rPr>
        <w:t xml:space="preserve"> </w:t>
      </w:r>
      <w:r>
        <w:rPr>
          <w:rFonts w:cs="Arial"/>
        </w:rPr>
        <w:t xml:space="preserve">include little if any information about </w:t>
      </w:r>
      <w:r w:rsidR="0049395A">
        <w:rPr>
          <w:rFonts w:cs="Arial"/>
        </w:rPr>
        <w:t>oral health</w:t>
      </w:r>
      <w:r>
        <w:rPr>
          <w:rFonts w:cs="Arial"/>
        </w:rPr>
        <w:t xml:space="preserve"> issues</w:t>
      </w:r>
      <w:r w:rsidR="0049395A">
        <w:rPr>
          <w:rFonts w:cs="Arial"/>
        </w:rPr>
        <w:t>.</w:t>
      </w:r>
      <w:r w:rsidR="0049395A">
        <w:rPr>
          <w:rStyle w:val="EndnoteReference"/>
          <w:rFonts w:cs="Arial"/>
        </w:rPr>
        <w:endnoteReference w:id="7"/>
      </w:r>
      <w:r w:rsidR="0049395A">
        <w:rPr>
          <w:rFonts w:cs="Arial"/>
        </w:rPr>
        <w:t xml:space="preserve">  This is of particularly significant concern in Maine because the prevalence of diabetes is rising</w:t>
      </w:r>
      <w:r w:rsidR="0049395A">
        <w:rPr>
          <w:rStyle w:val="EndnoteReference"/>
          <w:rFonts w:cs="Arial"/>
        </w:rPr>
        <w:endnoteReference w:id="8"/>
      </w:r>
      <w:r w:rsidR="0049395A">
        <w:rPr>
          <w:rFonts w:cs="Arial"/>
        </w:rPr>
        <w:t xml:space="preserve"> while the age-adjusted estimates of the percentage of dentate adults who have diabetes who had a dental visit during the preceding 12 months decreased from 64.3% in 1999 to 59.3% in 2004.</w:t>
      </w:r>
      <w:r w:rsidR="0049395A">
        <w:rPr>
          <w:rStyle w:val="EndnoteReference"/>
          <w:rFonts w:cs="Arial"/>
        </w:rPr>
        <w:endnoteReference w:id="9"/>
      </w:r>
      <w:r w:rsidR="0049395A">
        <w:rPr>
          <w:rFonts w:cs="Arial"/>
        </w:rPr>
        <w:t xml:space="preserve">  These results place Maine </w:t>
      </w:r>
      <w:r w:rsidR="00B10D82">
        <w:rPr>
          <w:rFonts w:cs="Arial"/>
        </w:rPr>
        <w:t xml:space="preserve">residents with diabetes </w:t>
      </w:r>
      <w:r w:rsidR="0049395A">
        <w:rPr>
          <w:rFonts w:cs="Arial"/>
        </w:rPr>
        <w:t xml:space="preserve">in a tie </w:t>
      </w:r>
      <w:r w:rsidR="00B10D82">
        <w:rPr>
          <w:rFonts w:cs="Arial"/>
        </w:rPr>
        <w:t xml:space="preserve">with diabetic residents in Puerto Rico </w:t>
      </w:r>
      <w:r w:rsidR="0049395A">
        <w:rPr>
          <w:rFonts w:cs="Arial"/>
        </w:rPr>
        <w:t>for the having the 9</w:t>
      </w:r>
      <w:r w:rsidR="0049395A">
        <w:rPr>
          <w:rFonts w:cs="Arial"/>
          <w:vertAlign w:val="superscript"/>
        </w:rPr>
        <w:t>th</w:t>
      </w:r>
      <w:r w:rsidR="0049395A">
        <w:rPr>
          <w:rFonts w:cs="Arial"/>
        </w:rPr>
        <w:t xml:space="preserve"> worst </w:t>
      </w:r>
      <w:r w:rsidR="00B10D82">
        <w:rPr>
          <w:rFonts w:cs="Arial"/>
        </w:rPr>
        <w:t xml:space="preserve">oral health care </w:t>
      </w:r>
      <w:r w:rsidR="0049395A">
        <w:rPr>
          <w:rFonts w:cs="Arial"/>
        </w:rPr>
        <w:t>utilization rate</w:t>
      </w:r>
      <w:r w:rsidR="00B10D82">
        <w:rPr>
          <w:rFonts w:cs="Arial"/>
        </w:rPr>
        <w:t xml:space="preserve"> in the United States and its territories</w:t>
      </w:r>
      <w:r w:rsidR="0049395A">
        <w:rPr>
          <w:rFonts w:cs="Arial"/>
        </w:rPr>
        <w:t>.</w:t>
      </w:r>
    </w:p>
    <w:sectPr w:rsidR="0028336C" w:rsidRPr="00903BA4" w:rsidSect="003350EE">
      <w:headerReference w:type="default" r:id="rId7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61" w:rsidRDefault="00E60161">
      <w:r>
        <w:separator/>
      </w:r>
    </w:p>
  </w:endnote>
  <w:endnote w:type="continuationSeparator" w:id="1">
    <w:p w:rsidR="00E60161" w:rsidRDefault="00E60161">
      <w:r>
        <w:continuationSeparator/>
      </w:r>
    </w:p>
  </w:endnote>
  <w:endnote w:id="2">
    <w:p w:rsidR="00EB5192" w:rsidRDefault="00EB5192" w:rsidP="0049395A">
      <w:pPr>
        <w:pStyle w:val="EndnoteText"/>
        <w:rPr>
          <w:sz w:val="24"/>
        </w:rPr>
      </w:pPr>
      <w:r>
        <w:rPr>
          <w:rStyle w:val="EndnoteReference"/>
          <w:sz w:val="24"/>
        </w:rPr>
        <w:endnoteRef/>
      </w:r>
      <w:r>
        <w:rPr>
          <w:sz w:val="24"/>
        </w:rPr>
        <w:t xml:space="preserve"> Genco, Robert J., </w:t>
      </w:r>
      <w:r>
        <w:rPr>
          <w:i/>
          <w:iCs/>
          <w:sz w:val="24"/>
        </w:rPr>
        <w:t>Mechanisms Proposed Linking Periodontal Infections and Diabetes, Heart Disease and Stroke, Premature Births, and Respiratory Infections.</w:t>
      </w:r>
      <w:r>
        <w:rPr>
          <w:sz w:val="24"/>
        </w:rPr>
        <w:t xml:space="preserve">  Oral Presentation, APHA Session #4245, Boston, MA 2007</w:t>
      </w:r>
    </w:p>
  </w:endnote>
  <w:endnote w:id="3">
    <w:p w:rsidR="00EB5192" w:rsidRDefault="00EB5192" w:rsidP="0049395A">
      <w:pPr>
        <w:pStyle w:val="EndnoteText"/>
        <w:rPr>
          <w:sz w:val="24"/>
        </w:rPr>
      </w:pPr>
      <w:r>
        <w:rPr>
          <w:rStyle w:val="EndnoteReference"/>
          <w:sz w:val="24"/>
        </w:rPr>
        <w:endnoteRef/>
      </w:r>
      <w:r>
        <w:rPr>
          <w:sz w:val="24"/>
        </w:rPr>
        <w:t xml:space="preserve"> Low H. Periondal disease ---the sixth complication of diabetes mellitus.  Diabetes Care 1993;16(suppl 1)329—34.  Cited in MMWR Weekly, November 25, 2005 / 54(46);1181-1183.</w:t>
      </w:r>
    </w:p>
  </w:endnote>
  <w:endnote w:id="4">
    <w:p w:rsidR="00EB5192" w:rsidRDefault="00EB5192" w:rsidP="0049395A">
      <w:pPr>
        <w:pStyle w:val="EndnoteText"/>
      </w:pPr>
      <w:r>
        <w:rPr>
          <w:rStyle w:val="EndnoteReference"/>
          <w:sz w:val="24"/>
        </w:rPr>
        <w:endnoteRef/>
      </w:r>
      <w:r>
        <w:rPr>
          <w:sz w:val="24"/>
        </w:rPr>
        <w:t xml:space="preserve"> Tomar SL, Lester A. Dental and other health care visits among U.S. adults with diabetes.  Diabetes Care 2000;23:1505—10. Cited in MMWR Weekly, November 25, 2005 / 54(46);1181-1183.</w:t>
      </w:r>
    </w:p>
  </w:endnote>
  <w:endnote w:id="5">
    <w:p w:rsidR="00EB5192" w:rsidRDefault="00EB5192" w:rsidP="003350EE">
      <w:pPr>
        <w:pStyle w:val="EndnoteText"/>
        <w:spacing w:before="0" w:beforeAutospacing="0" w:after="0" w:afterAutospacing="0"/>
        <w:rPr>
          <w:sz w:val="24"/>
        </w:rPr>
      </w:pPr>
      <w:r>
        <w:rPr>
          <w:rStyle w:val="EndnoteReference"/>
          <w:sz w:val="24"/>
        </w:rPr>
        <w:endnoteRef/>
      </w:r>
      <w:r>
        <w:rPr>
          <w:sz w:val="24"/>
        </w:rPr>
        <w:t xml:space="preserve"> Saito T, Shimazaki Y, Kiyohara Y, et.al. The severityof periodontal disease is associated wit the development of glucose intolerance in non-diabetics: the Hisayama Study. J Dent Res 2004;83:485—90.  AND</w:t>
      </w:r>
    </w:p>
    <w:p w:rsidR="00EB5192" w:rsidRDefault="00EB5192" w:rsidP="003350EE">
      <w:pPr>
        <w:pStyle w:val="EndnoteText"/>
        <w:spacing w:before="0" w:beforeAutospacing="0" w:after="0" w:afterAutospacing="0"/>
        <w:rPr>
          <w:sz w:val="24"/>
        </w:rPr>
      </w:pPr>
      <w:r>
        <w:rPr>
          <w:sz w:val="24"/>
        </w:rPr>
        <w:t>Taylor G. Periodontal treatment and its effect on glycemic control, 1999.  Oral Surg Oral med Oral pathol 1999;87:311-6.  Cited in MMWR Weekly, November 25, 2005 / 54(46);1181-1183.</w:t>
      </w:r>
    </w:p>
  </w:endnote>
  <w:endnote w:id="6">
    <w:p w:rsidR="00EB5192" w:rsidRDefault="00EB5192" w:rsidP="0049395A">
      <w:pPr>
        <w:pStyle w:val="EndnoteText"/>
        <w:rPr>
          <w:sz w:val="24"/>
        </w:rPr>
      </w:pPr>
      <w:r>
        <w:rPr>
          <w:rStyle w:val="EndnoteReference"/>
          <w:sz w:val="24"/>
        </w:rPr>
        <w:endnoteRef/>
      </w:r>
      <w:r>
        <w:rPr>
          <w:sz w:val="24"/>
        </w:rPr>
        <w:t xml:space="preserve"> Healthy Maine 2010 accessed at </w:t>
      </w:r>
      <w:hyperlink r:id="rId1" w:history="1">
        <w:r>
          <w:rPr>
            <w:rStyle w:val="Hyperlink"/>
            <w:sz w:val="24"/>
          </w:rPr>
          <w:t>http://www.maine.gov/dhhs/files/hm2010/hm2010/a05ch02.pdf</w:t>
        </w:r>
      </w:hyperlink>
      <w:r>
        <w:rPr>
          <w:sz w:val="24"/>
        </w:rPr>
        <w:t xml:space="preserve">  on July 13, 2007.  Published by the State of Maine, Primary author: Dr. DoraAnne Mills, State Health Officer.</w:t>
      </w:r>
    </w:p>
  </w:endnote>
  <w:endnote w:id="7">
    <w:p w:rsidR="00EB5192" w:rsidRDefault="00EB5192" w:rsidP="0049395A">
      <w:pPr>
        <w:pStyle w:val="EndnoteText"/>
        <w:rPr>
          <w:sz w:val="24"/>
        </w:rPr>
      </w:pPr>
      <w:r>
        <w:rPr>
          <w:rStyle w:val="EndnoteReference"/>
          <w:sz w:val="24"/>
        </w:rPr>
        <w:endnoteRef/>
      </w:r>
      <w:r>
        <w:rPr>
          <w:sz w:val="24"/>
        </w:rPr>
        <w:t xml:space="preserve"> Maine DHHS Division of Chronic Disease Diabetes Prevention and Control Progam.  Diabetes Self-Management Education Barrier Study, September 2006.  AND</w:t>
      </w:r>
    </w:p>
    <w:p w:rsidR="00EB5192" w:rsidRDefault="00EB5192" w:rsidP="0049395A">
      <w:pPr>
        <w:pStyle w:val="EndnoteText"/>
      </w:pPr>
      <w:r>
        <w:rPr>
          <w:sz w:val="24"/>
        </w:rPr>
        <w:t>Personal Communication, Jim Leonard, Maine Diabetes Prevention and Control Program Manager, July 10, 2007.</w:t>
      </w:r>
    </w:p>
  </w:endnote>
  <w:endnote w:id="8">
    <w:p w:rsidR="00EB5192" w:rsidRDefault="00EB5192" w:rsidP="0049395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24"/>
        </w:rPr>
        <w:t>Maine DHHS Division of Chronic Disease Diabetes Prevention and Control Progam.  Diabetes Self-Management Education Barrier Study, September 2006, p. 6.</w:t>
      </w:r>
    </w:p>
  </w:endnote>
  <w:endnote w:id="9">
    <w:p w:rsidR="00EB5192" w:rsidRDefault="00EB5192" w:rsidP="0049395A">
      <w:pPr>
        <w:pStyle w:val="EndnoteText"/>
        <w:rPr>
          <w:sz w:val="24"/>
        </w:rPr>
      </w:pPr>
      <w:r>
        <w:rPr>
          <w:rStyle w:val="EndnoteReference"/>
          <w:sz w:val="24"/>
        </w:rPr>
        <w:endnoteRef/>
      </w:r>
      <w:r>
        <w:rPr>
          <w:sz w:val="24"/>
        </w:rPr>
        <w:t xml:space="preserve"> MMWR Weekly, November 25, 2006 / 54(46);1181-1183, Table 1 accessed at </w:t>
      </w:r>
      <w:hyperlink r:id="rId2" w:history="1">
        <w:r>
          <w:rPr>
            <w:rStyle w:val="Hyperlink"/>
            <w:sz w:val="24"/>
          </w:rPr>
          <w:t>http://www.cdc.ogv/mmwr/preview/mmwrhtml/mm5446a3.htm</w:t>
        </w:r>
      </w:hyperlink>
      <w:r>
        <w:rPr>
          <w:sz w:val="24"/>
        </w:rPr>
        <w:t xml:space="preserve"> on July 5, 2007.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61" w:rsidRDefault="00E60161">
      <w:r>
        <w:separator/>
      </w:r>
    </w:p>
  </w:footnote>
  <w:footnote w:type="continuationSeparator" w:id="1">
    <w:p w:rsidR="00E60161" w:rsidRDefault="00E6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92" w:rsidRDefault="003350EE">
    <w:pPr>
      <w:pStyle w:val="Header"/>
      <w:jc w:val="right"/>
    </w:pPr>
    <w:r>
      <w:t xml:space="preserve">Oral Health &amp; Diabetes - </w:t>
    </w:r>
    <w:r w:rsidR="00EB5192">
      <w:t>Citations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15A"/>
    <w:multiLevelType w:val="hybridMultilevel"/>
    <w:tmpl w:val="1FFA06E4"/>
    <w:lvl w:ilvl="0" w:tplc="94E82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F8C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CA3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AAE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986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E64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924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64F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527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278F5"/>
    <w:multiLevelType w:val="hybridMultilevel"/>
    <w:tmpl w:val="3FAAE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50D62"/>
    <w:multiLevelType w:val="hybridMultilevel"/>
    <w:tmpl w:val="32065CB6"/>
    <w:lvl w:ilvl="0" w:tplc="A8E27C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1E0E53E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BB7C39F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99608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F8DA3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E96DC3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A928E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3E419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C52B67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EB80D4B"/>
    <w:multiLevelType w:val="hybridMultilevel"/>
    <w:tmpl w:val="91CA89A8"/>
    <w:lvl w:ilvl="0" w:tplc="F322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E5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7C3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60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6D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2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2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543DF"/>
    <w:multiLevelType w:val="hybridMultilevel"/>
    <w:tmpl w:val="0988ED22"/>
    <w:lvl w:ilvl="0" w:tplc="0FEC1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1ECA"/>
    <w:multiLevelType w:val="hybridMultilevel"/>
    <w:tmpl w:val="A28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856EC"/>
    <w:multiLevelType w:val="hybridMultilevel"/>
    <w:tmpl w:val="C32C02E2"/>
    <w:lvl w:ilvl="0" w:tplc="C7F81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0B41C3"/>
    <w:multiLevelType w:val="hybridMultilevel"/>
    <w:tmpl w:val="0B38BDE4"/>
    <w:lvl w:ilvl="0" w:tplc="90FC9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196E"/>
    <w:multiLevelType w:val="hybridMultilevel"/>
    <w:tmpl w:val="05BA0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9D6A82"/>
    <w:multiLevelType w:val="hybridMultilevel"/>
    <w:tmpl w:val="5540D6F6"/>
    <w:lvl w:ilvl="0" w:tplc="0FEC1A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B5D3D"/>
    <w:multiLevelType w:val="hybridMultilevel"/>
    <w:tmpl w:val="68D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591"/>
    <w:rsid w:val="000152EF"/>
    <w:rsid w:val="00090527"/>
    <w:rsid w:val="00174DB8"/>
    <w:rsid w:val="001903CF"/>
    <w:rsid w:val="001B0B0C"/>
    <w:rsid w:val="001E00AE"/>
    <w:rsid w:val="001E53AE"/>
    <w:rsid w:val="001F0791"/>
    <w:rsid w:val="002235F8"/>
    <w:rsid w:val="0027380D"/>
    <w:rsid w:val="0028336C"/>
    <w:rsid w:val="002C14A7"/>
    <w:rsid w:val="002D7A20"/>
    <w:rsid w:val="002F33C6"/>
    <w:rsid w:val="00304AEA"/>
    <w:rsid w:val="003078AE"/>
    <w:rsid w:val="00323F80"/>
    <w:rsid w:val="003350EE"/>
    <w:rsid w:val="00365B10"/>
    <w:rsid w:val="003712B8"/>
    <w:rsid w:val="00373C33"/>
    <w:rsid w:val="00374F9D"/>
    <w:rsid w:val="00385638"/>
    <w:rsid w:val="00387507"/>
    <w:rsid w:val="0039238C"/>
    <w:rsid w:val="003D777C"/>
    <w:rsid w:val="003F4D35"/>
    <w:rsid w:val="0043381F"/>
    <w:rsid w:val="004448B8"/>
    <w:rsid w:val="00463991"/>
    <w:rsid w:val="0049395A"/>
    <w:rsid w:val="004C4D0A"/>
    <w:rsid w:val="00506773"/>
    <w:rsid w:val="00521010"/>
    <w:rsid w:val="005E370D"/>
    <w:rsid w:val="00615CB2"/>
    <w:rsid w:val="006525D2"/>
    <w:rsid w:val="00656C8C"/>
    <w:rsid w:val="006A35E8"/>
    <w:rsid w:val="006C5E67"/>
    <w:rsid w:val="006E2050"/>
    <w:rsid w:val="006F2AA9"/>
    <w:rsid w:val="006F3616"/>
    <w:rsid w:val="00717514"/>
    <w:rsid w:val="00725A4F"/>
    <w:rsid w:val="00753E19"/>
    <w:rsid w:val="00780C3B"/>
    <w:rsid w:val="0078319E"/>
    <w:rsid w:val="00806EA3"/>
    <w:rsid w:val="00842186"/>
    <w:rsid w:val="00877778"/>
    <w:rsid w:val="008E5667"/>
    <w:rsid w:val="008F7709"/>
    <w:rsid w:val="00903BA4"/>
    <w:rsid w:val="00914F5C"/>
    <w:rsid w:val="00962257"/>
    <w:rsid w:val="00987200"/>
    <w:rsid w:val="009B37BD"/>
    <w:rsid w:val="009B53C3"/>
    <w:rsid w:val="009F3907"/>
    <w:rsid w:val="00A006F6"/>
    <w:rsid w:val="00A014CC"/>
    <w:rsid w:val="00A1459B"/>
    <w:rsid w:val="00A15C51"/>
    <w:rsid w:val="00A23324"/>
    <w:rsid w:val="00A26072"/>
    <w:rsid w:val="00A27ACE"/>
    <w:rsid w:val="00A319A6"/>
    <w:rsid w:val="00A531BA"/>
    <w:rsid w:val="00AA0C0C"/>
    <w:rsid w:val="00AB0004"/>
    <w:rsid w:val="00AB6DA7"/>
    <w:rsid w:val="00AD121D"/>
    <w:rsid w:val="00AE6187"/>
    <w:rsid w:val="00B10D82"/>
    <w:rsid w:val="00B97193"/>
    <w:rsid w:val="00C77B91"/>
    <w:rsid w:val="00C852F3"/>
    <w:rsid w:val="00C929BD"/>
    <w:rsid w:val="00CA659B"/>
    <w:rsid w:val="00CC0080"/>
    <w:rsid w:val="00CC590E"/>
    <w:rsid w:val="00CE6ED0"/>
    <w:rsid w:val="00D20E7D"/>
    <w:rsid w:val="00D35C8E"/>
    <w:rsid w:val="00DB5064"/>
    <w:rsid w:val="00DE2591"/>
    <w:rsid w:val="00DF0244"/>
    <w:rsid w:val="00DF5DD7"/>
    <w:rsid w:val="00E0619F"/>
    <w:rsid w:val="00E27947"/>
    <w:rsid w:val="00E317F2"/>
    <w:rsid w:val="00E326F5"/>
    <w:rsid w:val="00E3378A"/>
    <w:rsid w:val="00E43216"/>
    <w:rsid w:val="00E60161"/>
    <w:rsid w:val="00E773D4"/>
    <w:rsid w:val="00EB5192"/>
    <w:rsid w:val="00EC73DE"/>
    <w:rsid w:val="00ED16F3"/>
    <w:rsid w:val="00ED4B77"/>
    <w:rsid w:val="00ED5E61"/>
    <w:rsid w:val="00EE723A"/>
    <w:rsid w:val="00F81A50"/>
    <w:rsid w:val="00F879A2"/>
    <w:rsid w:val="00FB1E7A"/>
    <w:rsid w:val="00FC16C7"/>
    <w:rsid w:val="00FC355A"/>
    <w:rsid w:val="00FE01E0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  <w:outlineLvl w:val="0"/>
    </w:pPr>
    <w:rPr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nt5">
    <w:name w:val="font5"/>
    <w:basedOn w:val="Normal"/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"/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right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pBdr>
        <w:top w:val="single" w:sz="4" w:space="0" w:color="auto"/>
      </w:pBdr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basedOn w:val="DefaultParagraphFont"/>
    <w:link w:val="Header"/>
    <w:uiPriority w:val="99"/>
    <w:rsid w:val="00FE7A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7B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16">
      <w:bodyDiv w:val="1"/>
      <w:marLeft w:val="96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ogv/mmwr/preview/mmwrhtml/mm5446a3.htm" TargetMode="External"/><Relationship Id="rId1" Type="http://schemas.openxmlformats.org/officeDocument/2006/relationships/hyperlink" Target="http://www.maine.gov/dhhs/files/hm2010/hm2010/a05ch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Concept:  Develop an intervention for type two diabetics to increase utilization of oral health care services (prevent</vt:lpstr>
    </vt:vector>
  </TitlesOfParts>
  <Company>MCD</Company>
  <LinksUpToDate>false</LinksUpToDate>
  <CharactersWithSpaces>1524</CharactersWithSpaces>
  <SharedDoc>false</SharedDoc>
  <HLinks>
    <vt:vector size="12" baseType="variant"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http://www.cdc.ogv/mmwr/preview/mmwrhtml/mm5446a3.htm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http://www.maine.gov/dhhs/files/hm2010/hm2010/a05ch02.pdf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Concept:  Develop an intervention for type two diabetics to increase utilization of oral health care services (prevent</dc:title>
  <dc:subject/>
  <dc:creator>Sarah Shed</dc:creator>
  <cp:keywords/>
  <dc:description/>
  <cp:lastModifiedBy>sshed</cp:lastModifiedBy>
  <cp:revision>2</cp:revision>
  <cp:lastPrinted>2007-10-01T18:05:00Z</cp:lastPrinted>
  <dcterms:created xsi:type="dcterms:W3CDTF">2008-10-31T17:49:00Z</dcterms:created>
  <dcterms:modified xsi:type="dcterms:W3CDTF">2008-10-31T17:49:00Z</dcterms:modified>
</cp:coreProperties>
</file>